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Caldwell Board of 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8"/>
          <w:shd w:fill="auto" w:val="clear"/>
        </w:rPr>
        <w:t xml:space="preserve">REALTORS®</w:t>
      </w:r>
    </w:p>
    <w:p>
      <w:pPr>
        <w:spacing w:before="0" w:after="0" w:line="259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 xml:space="preserve">Secondary Membership Application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126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Date: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________________________________________</w:t>
        <w:tab/>
        <w:t xml:space="preserve">                  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NRDS#: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Last Name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: _________________________________________</w:t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First Name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Primary Association: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Office: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Phone #: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 ____________________________</w:t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Email: </w:t>
      </w: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Home Address (If different):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*For dues instructions, please see page 2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______________________________________________________________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  <w:t xml:space="preserve">Agent Signature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Dues Instructions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  <w:t xml:space="preserve">RETURN THE ABOVE FORM AND PAYMENT TO: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O.A.M.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c/o Cindy OldenKamp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12729 Wild Rose Lane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Nampa, Idaho  83686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FFFF00" w:val="clear"/>
        </w:rPr>
        <w:t xml:space="preserve">IMPORTANT: </w:t>
      </w: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FFFF00" w:val="clear"/>
        </w:rPr>
        <w:t xml:space="preserve">Checks must be made payable to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FFFF00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FFFF00" w:val="clear"/>
        </w:rPr>
        <w:t xml:space="preserve">OldenKamp Association Management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FFFF00" w:val="clear"/>
        </w:rPr>
        <w:t xml:space="preserve">, </w:t>
      </w: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FFFF00" w:val="clear"/>
        </w:rPr>
        <w:t xml:space="preserve">and not the local board, to avoid delay of membership.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FFFF00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If you wish to pay by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  <w:t xml:space="preserve">Credit Card</w:t>
      </w: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 contact Cindy OldenKamp.  (</w:t>
      </w:r>
      <w:r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  <w:t xml:space="preserve">There is a 4% convenience fee</w:t>
      </w:r>
      <w:r>
        <w:rPr>
          <w:rFonts w:ascii="Cambria" w:hAnsi="Cambria" w:cs="Cambria" w:eastAsia="Cambria"/>
          <w:color w:val="auto"/>
          <w:spacing w:val="0"/>
          <w:position w:val="0"/>
          <w:sz w:val="18"/>
          <w:shd w:fill="auto" w:val="clear"/>
        </w:rPr>
        <w:t xml:space="preserve">.)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18"/>
          <w:shd w:fill="auto" w:val="clear"/>
        </w:rPr>
      </w:pP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  <w:t xml:space="preserve">If your primary association is within the state of Idaho, and/or you are current on your Idaho state dues, please remit payment based on the chart below: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tbl>
      <w:tblPr/>
      <w:tblGrid>
        <w:gridCol w:w="2094"/>
        <w:gridCol w:w="964"/>
        <w:gridCol w:w="1405"/>
        <w:gridCol w:w="1468"/>
        <w:gridCol w:w="1386"/>
        <w:gridCol w:w="1454"/>
        <w:gridCol w:w="1443"/>
      </w:tblGrid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January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February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March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April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May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June</w:t>
            </w:r>
          </w:p>
        </w:tc>
      </w:tr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CBOR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160.00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150.00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140.00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130.00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120.00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110.00</w:t>
            </w:r>
          </w:p>
        </w:tc>
      </w:tr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IR/PS Fee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</w:tr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$170.00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$160.00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$150.00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$140.00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$130.00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$120.00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July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August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September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October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November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u w:val="single"/>
                <w:shd w:fill="auto" w:val="clear"/>
              </w:rPr>
              <w:t xml:space="preserve">December</w:t>
            </w:r>
          </w:p>
        </w:tc>
      </w:tr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CBOR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100.00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90.00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80.00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70.00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60.00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50.00</w:t>
            </w:r>
          </w:p>
        </w:tc>
      </w:tr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IR/PS Fee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0"/>
                <w:shd w:fill="auto" w:val="clear"/>
              </w:rPr>
              <w:t xml:space="preserve">10.00</w:t>
            </w:r>
          </w:p>
        </w:tc>
      </w:tr>
      <w:tr>
        <w:trPr>
          <w:trHeight w:val="1" w:hRule="atLeast"/>
          <w:jc w:val="left"/>
        </w:trPr>
        <w:tc>
          <w:tcPr>
            <w:tcW w:w="20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TOTAL</w:t>
            </w:r>
          </w:p>
        </w:tc>
        <w:tc>
          <w:tcPr>
            <w:tcW w:w="9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$110.00</w:t>
            </w:r>
          </w:p>
        </w:tc>
        <w:tc>
          <w:tcPr>
            <w:tcW w:w="14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$100.00</w:t>
            </w:r>
          </w:p>
        </w:tc>
        <w:tc>
          <w:tcPr>
            <w:tcW w:w="14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$90.00</w:t>
            </w:r>
          </w:p>
        </w:tc>
        <w:tc>
          <w:tcPr>
            <w:tcW w:w="138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$80.00</w:t>
            </w:r>
          </w:p>
        </w:tc>
        <w:tc>
          <w:tcPr>
            <w:tcW w:w="14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$70.00</w:t>
            </w:r>
          </w:p>
        </w:tc>
        <w:tc>
          <w:tcPr>
            <w:tcW w:w="14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$60.00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9"/>
        </w:numPr>
        <w:spacing w:before="0" w:after="0" w:line="240"/>
        <w:ind w:right="0" w:left="720" w:hanging="36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  <w:t xml:space="preserve">If your primary association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FFFF00" w:val="clear"/>
        </w:rPr>
        <w:t xml:space="preserve">IS NOT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  <w:t xml:space="preserve"> within the State of Idaho and/or you have not paid Idaho state dues, please remit prorated payment according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to the chart below: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</w:pPr>
    </w:p>
    <w:tbl>
      <w:tblPr/>
      <w:tblGrid>
        <w:gridCol w:w="2072"/>
        <w:gridCol w:w="1001"/>
        <w:gridCol w:w="1395"/>
        <w:gridCol w:w="1488"/>
        <w:gridCol w:w="1373"/>
        <w:gridCol w:w="1449"/>
        <w:gridCol w:w="1436"/>
      </w:tblGrid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January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February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March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April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May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June</w:t>
            </w: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IR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180.00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165.83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151.67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137.50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123.33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109.17</w:t>
            </w: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CBOR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160.00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150.00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140.00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130.00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120.00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110.00</w:t>
            </w: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IR/PS Fee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TOTAL                           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$350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$325.83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$301.67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$277.50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$253.33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$229.17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July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August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September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October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November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u w:val="single"/>
                <w:shd w:fill="auto" w:val="clear"/>
              </w:rPr>
              <w:t xml:space="preserve">December</w:t>
            </w: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IR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95.00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80.83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66.67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52.50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38.33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24.17</w:t>
            </w: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CBOR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100.00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90.00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80.00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70.00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60.00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50.00</w:t>
            </w: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IR/PS Fee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21"/>
                <w:shd w:fill="auto" w:val="clear"/>
              </w:rPr>
              <w:t xml:space="preserve">10.00</w:t>
            </w:r>
          </w:p>
        </w:tc>
      </w:tr>
      <w:tr>
        <w:trPr>
          <w:trHeight w:val="1" w:hRule="atLeast"/>
          <w:jc w:val="left"/>
        </w:trPr>
        <w:tc>
          <w:tcPr>
            <w:tcW w:w="207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TOTAL</w:t>
            </w:r>
          </w:p>
        </w:tc>
        <w:tc>
          <w:tcPr>
            <w:tcW w:w="10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$205</w:t>
            </w:r>
          </w:p>
        </w:tc>
        <w:tc>
          <w:tcPr>
            <w:tcW w:w="13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$180.83</w:t>
            </w:r>
          </w:p>
        </w:tc>
        <w:tc>
          <w:tcPr>
            <w:tcW w:w="1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$156.67</w:t>
            </w:r>
          </w:p>
        </w:tc>
        <w:tc>
          <w:tcPr>
            <w:tcW w:w="13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$132.50</w:t>
            </w:r>
          </w:p>
        </w:tc>
        <w:tc>
          <w:tcPr>
            <w:tcW w:w="144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$108.33</w:t>
            </w:r>
          </w:p>
        </w:tc>
        <w:tc>
          <w:tcPr>
            <w:tcW w:w="14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b/>
                <w:color w:val="auto"/>
                <w:spacing w:val="0"/>
                <w:position w:val="0"/>
                <w:sz w:val="21"/>
                <w:shd w:fill="auto" w:val="clear"/>
              </w:rPr>
              <w:t xml:space="preserve">$84.17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  <w:t xml:space="preserve">*IR/PS FEE </w:t>
      </w:r>
      <w:r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  <w:t xml:space="preserve">–</w:t>
      </w:r>
      <w:r>
        <w:rPr>
          <w:rFonts w:ascii="Cambria" w:hAnsi="Cambria" w:cs="Cambria" w:eastAsia="Cambria"/>
          <w:color w:val="auto"/>
          <w:spacing w:val="0"/>
          <w:position w:val="0"/>
          <w:sz w:val="15"/>
          <w:shd w:fill="auto" w:val="clear"/>
        </w:rPr>
        <w:t xml:space="preserve"> Idaho Association of Realtors Professional Standards Fee is Mandatory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0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Questions, please contact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  <w:t xml:space="preserve">Cindy OldenKamp</w:t>
      </w: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  <w:t xml:space="preserve">208-880-3094 </w:t>
      </w: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email C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1"/>
          <w:shd w:fill="auto" w:val="clear"/>
        </w:rPr>
        <w:t xml:space="preserve">indyOldenkamp98@gmail.com</w:t>
      </w:r>
      <w:r>
        <w:rPr>
          <w:rFonts w:ascii="Cambria" w:hAnsi="Cambria" w:cs="Cambria" w:eastAsia="Cambria"/>
          <w:color w:val="auto"/>
          <w:spacing w:val="0"/>
          <w:position w:val="0"/>
          <w:sz w:val="21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8">
    <w:abstractNumId w:val="6"/>
  </w:num>
  <w:num w:numId="3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